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776A" w14:textId="77777777" w:rsidR="00D32149" w:rsidRDefault="00D32149" w:rsidP="00D3214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pl-PL"/>
        </w:rPr>
        <w:t>GEOGRAFIA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pl-PL"/>
        </w:rPr>
        <w:t xml:space="preserve"> - 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PRZEDMIOTOWY SYSTEM OCENIANIA</w:t>
      </w:r>
    </w:p>
    <w:p w14:paraId="4524DAB9" w14:textId="77777777" w:rsidR="00D32149" w:rsidRDefault="00D32149" w:rsidP="00D3214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  <w:t xml:space="preserve">PUBLICZNA SZKOŁA PODSTAWOWA nr 24 w OPOLU </w:t>
      </w:r>
    </w:p>
    <w:p w14:paraId="31E7D468" w14:textId="77777777" w:rsidR="00D32149" w:rsidRDefault="00D32149" w:rsidP="00D32149">
      <w:pPr>
        <w:spacing w:after="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im. „Przyjaźni Narodów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  <w:t>Świata ”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</w:r>
    </w:p>
    <w:p w14:paraId="25CC7485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Przedmiotowy system oceniania z geografii opracowany w oparciu o :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1.Nową podstawę programową kształcenia ogólnego.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2.W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ewnątrzszkolny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S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ystem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ceniania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3.Program nauczania geografii dla szkół podstawowych wydawnictwa „Nowa Era: Planeta Nowa, autorstwa E.M Tuz i B.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proofErr w:type="spellStart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Dzidzic</w:t>
      </w:r>
      <w:proofErr w:type="spellEnd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.</w:t>
      </w:r>
    </w:p>
    <w:p w14:paraId="2F9EEAE2" w14:textId="77777777" w:rsidR="00D32149" w:rsidRDefault="00D32149" w:rsidP="00D3214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Nauczyciel – Ewa Kwaśniewska-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Bogdał</w:t>
      </w:r>
      <w:proofErr w:type="spellEnd"/>
    </w:p>
    <w:p w14:paraId="7EA5AE66" w14:textId="77777777" w:rsidR="00D32149" w:rsidRDefault="00D32149" w:rsidP="00D3214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</w:p>
    <w:p w14:paraId="35207824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Przedmiotem oceniania są: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- wiadomości,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- umiejętności,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- postawa ucznia i jego aktywność.</w:t>
      </w:r>
    </w:p>
    <w:p w14:paraId="39ADC4EF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CELE OCENIANIA Z GEOGRAFII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1.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informowanie ucznia o poziomie jego osiągnięć edukacyjnych,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2.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udzielanie uczniowi pomocy w samodzielnym planowaniu własnego rozwoju,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3.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motywowanie ucznia do samodzielnej pracy połączonej z samooceną jego wyników,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4.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rozwijanie zainteresowań geograficznych ucznia,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5.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skłanianie do samodzielnego myślenia i poznawania szeroko rozumianej przestrzeni geograficznej oraz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przygotowanie do poruszania się w niej,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6.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wyrabianie nawyku samodzielnego i stałego doskonalenia się w celu rozwiązywania problemów życia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codziennego,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7.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kształtowanie dociekliwości i aktywnej postawy badawczej,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8.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rozumienie zależności człowieka od środowiska i wpływu człowieka na środowisko.</w:t>
      </w:r>
    </w:p>
    <w:p w14:paraId="5A68E614" w14:textId="77777777" w:rsidR="00D32149" w:rsidRDefault="00D32149" w:rsidP="00D3214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SPOSOBY SPRAWDZANIA WIEDZY I UMIEJĘTNOŚCI</w:t>
      </w:r>
    </w:p>
    <w:p w14:paraId="054F84A1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  <w:t>1. Sprawdziany wiedzy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 (po każdym dziale lub module tematycznym)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zapowiadane są z tygodniowym wyprzedzeniem,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informacja o sprawdzianie wpisana jest do e-dziennika, zwykle  poprzedzone są całogodzinnym powtórzeniem wiadomości,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sprawdziany są obowiązkowe 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jeżeli uczeń jest nieobecny na sprawdzianie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,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to w terminie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do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dwóch tygodni od chwili powrotu do szkoły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przystępuje do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jego na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pisania 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(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po uzgodnieniu terminu z nauczycielem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)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sprawdziany powinny być ocenione i oddane w ciągu 2 tygodni,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uczeń, który uzyskał ocenę niesatysfakcjonującą go, może poprawiać sprawdzian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ale tylko jeden raz, w terminie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do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2 tygodni od oddania prac przez nauczyciela,</w:t>
      </w:r>
    </w:p>
    <w:p w14:paraId="569FD586" w14:textId="77777777" w:rsidR="00D32149" w:rsidRPr="005510B6" w:rsidRDefault="00D32149" w:rsidP="00D32149">
      <w:pPr>
        <w:pStyle w:val="Akapitzlist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Czas przeznaczony na napisanie sprawdzianu wynosi  40 – 45 min.</w:t>
      </w:r>
    </w:p>
    <w:p w14:paraId="4CCF68FE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W przypadku sprawdzianów pisemnych stosowane są </w:t>
      </w:r>
      <w:proofErr w:type="spellStart"/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nastepujące</w:t>
      </w:r>
      <w:proofErr w:type="spellEnd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kryteria punktowe: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0% - 29% - ocena niedostateczna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30% - 49% - ocena dopuszczająca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50% - 69% - ocena dostateczna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70% - 8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4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% - ocena dobra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8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5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% - 97% - ocena bardzo dobra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20"/>
          <w:szCs w:val="20"/>
          <w:lang w:eastAsia="pl-PL"/>
        </w:rPr>
        <w:t xml:space="preserve">-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98% - 100% - ocena celująca</w:t>
      </w:r>
    </w:p>
    <w:p w14:paraId="4BFBC704" w14:textId="77777777" w:rsidR="00D32149" w:rsidRDefault="00D32149" w:rsidP="00D3214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2. Kartkówki</w:t>
      </w:r>
    </w:p>
    <w:p w14:paraId="150ED021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kartkówka obejmuje materiał najwyżej z trzech ostatnich tematów,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nie muszą być zapowiadane,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kartkówki nie są obowiązkowe (jeżeli uczeń był nieobecny, to nie musi jej zaliczać),</w:t>
      </w:r>
    </w:p>
    <w:p w14:paraId="74533623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nieobecność ucznia na wcześniejszych lekcjach nie zwalnia go z przygotowania się do lekcji i możliwości pisania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kartkówki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,</w:t>
      </w:r>
    </w:p>
    <w:p w14:paraId="3750C6BD" w14:textId="77777777" w:rsidR="00D32149" w:rsidRPr="00260CD8" w:rsidRDefault="00D32149" w:rsidP="00D32149">
      <w:pPr>
        <w:pStyle w:val="Akapitzlist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Czas przeznaczony na napisanie kartkówki wynosi 10 – 15 min.</w:t>
      </w:r>
    </w:p>
    <w:p w14:paraId="30E51B66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3. odpowiedzi ustne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tematyka dotyczy najwyżej z 3 ostatnich lekcji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nieprzygotowanie uczeń powinien zgłosić na początku lekcji </w:t>
      </w:r>
    </w:p>
    <w:p w14:paraId="6058F09E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lastRenderedPageBreak/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4.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zadania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 domowe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brak zadania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odnotowywany jest w dzienniku jako „</w:t>
      </w:r>
      <w:proofErr w:type="spellStart"/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bz</w:t>
      </w:r>
      <w:proofErr w:type="spellEnd"/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”,</w:t>
      </w:r>
    </w:p>
    <w:p w14:paraId="4F13D210" w14:textId="77777777" w:rsidR="00D32149" w:rsidRPr="00D11411" w:rsidRDefault="00D32149" w:rsidP="00D32149">
      <w:pPr>
        <w:pStyle w:val="Akapitzlist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brak zadania należy zgłosić na początku lekcji.</w:t>
      </w:r>
    </w:p>
    <w:p w14:paraId="466E8289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</w:p>
    <w:p w14:paraId="189289A1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</w:p>
    <w:p w14:paraId="48B6A062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  <w:t>5. praca na lekcji</w:t>
      </w:r>
    </w:p>
    <w:p w14:paraId="2133A09A" w14:textId="77777777" w:rsidR="00D32149" w:rsidRPr="00FF7853" w:rsidRDefault="00D32149" w:rsidP="00D32149">
      <w:pPr>
        <w:pStyle w:val="Akapitzlist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karty pracy oceniane są wszystkim uczniom,</w:t>
      </w:r>
    </w:p>
    <w:p w14:paraId="54A4F4FB" w14:textId="77777777" w:rsidR="00D32149" w:rsidRPr="00FF7853" w:rsidRDefault="00D32149" w:rsidP="00D32149">
      <w:pPr>
        <w:pStyle w:val="Akapitzlist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samodzielna praca z podręcznikiem, mapą lub tekstami źródłowymi oceniana jest wybiórczo.</w:t>
      </w:r>
      <w:r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5757347F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6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. aktywność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- oceniane jest: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zaangażowanie i wysiłek włożony w pracę na lekcji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częstość i poprawność udzielania odpowiedzi na pytania nauczyciela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stosowanie wiedzy w sytuacjach praktycznych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oceniana jest znakiem „+” lub „-‘’ (3 plusy – ocena bardzo dobra,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6 plusów – ocena celująca,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3 minusy – ocena niedostateczna)</w:t>
      </w:r>
    </w:p>
    <w:p w14:paraId="4785DAE1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7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. praca w grupie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oceniana jest: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umiejętność współdziałania w zespole,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efekt pracy zespołu,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sym w:font="Symbol" w:char="F0B7"/>
      </w:r>
      <w:r w:rsidRPr="00872A6F">
        <w:rPr>
          <w:rFonts w:ascii="SymbolMT" w:eastAsia="Times New Roman" w:hAnsi="Symbol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prezentacja efektu pracy zespołu</w:t>
      </w:r>
    </w:p>
    <w:p w14:paraId="752AD568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8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. ponadto oceniane są: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zadania dodatkowe (dla chętnych), 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prezentacje multimedialne, zadania podczas zajęć terenowych, udział w konkursach (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ocena uzależniona od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szczebla konkursu i zajętego miejsca), 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 projekty,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zeszyt przedmiotowy (</w:t>
      </w:r>
      <w:r>
        <w:rPr>
          <w:rFonts w:ascii="TimesNewRomanPS-BoldMT" w:eastAsia="Times New Roman" w:hAnsi="TimesNewRomanPS-BoldMT" w:cs="Times New Roman"/>
          <w:color w:val="000000"/>
          <w:sz w:val="18"/>
          <w:szCs w:val="18"/>
          <w:lang w:eastAsia="pl-PL"/>
        </w:rPr>
        <w:t>przy ocenie ze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szytu przedmiotowego lub zeszytu ćwiczeń bierze się pod uwagę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systematyczność, poprawność i staranność prowadzenia notatek oraz wykonywania rysunków. </w:t>
      </w:r>
    </w:p>
    <w:p w14:paraId="0749F7A9" w14:textId="77777777" w:rsidR="00D32149" w:rsidRPr="00D11411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</w:pP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Uwaga!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Nauczyciel ma prawo przerwać jakąkolwiek formę pisemną 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t>(kartkówka, sprawdzian, praca klasowa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) uczniowi (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t>lub całej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br/>
        <w:t>klasie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), jeżeli stwierdzi na podstawie zachowania ucznia (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t>klasy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) niesamodzielność pracy 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t>(przez niesamodzielną pracę należy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br/>
        <w:t xml:space="preserve">rozumieć: odwracanie się, rozmawianie, odpisywanie, przepisywanie itp.)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lub zakłócanie przebiegu sprawdzianu (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t>np.</w:t>
      </w:r>
      <w:r w:rsidRPr="00872A6F"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pl-PL"/>
        </w:rPr>
        <w:br/>
        <w:t>sygnałem telefonu komórkowego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). Stwierdzenie niesamodzielnej pracy lub zakłócanie przebiegu jest podstawą do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wystawienia oceny niedostatecznej, której nie można poprawić.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Nie można zgłaszać nieprzygotowania w przypadku zapowiedzianego wcześniej na dany dzień sprawdzianu lub kartkówki.</w:t>
      </w:r>
      <w:r w:rsidRPr="00872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Na koniec semestru nie przewiduje się dodatkowych sprawdzianów zaliczeniowych. Uzyskane stopnie w poszczególnych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 xml:space="preserve">formach aktywności ucznia stanowią podstawę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wystawienia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stopnia 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na półrocze lub koniec roku szkolnego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Przy wystawianiu oceny na koniec roku szkolnego uwzględnia się pracę i wyniki z całego roku szkolnego.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Przy wystawianiu oceny śródrocznej lub końcowo rocznej z geografii nauczyciel może posłużyć się średnią ważoną.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Podstawą obliczenia średniej ważonej są wszystkie otrzymane oceny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. K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ażda uzyskana przez ucznia ocena bieżąca ma swoją wagę (zakres wag: od 1 do 6)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. </w:t>
      </w:r>
      <w:r w:rsidRPr="00D11411">
        <w:rPr>
          <w:rFonts w:ascii="TimesNewRomanPSMT" w:eastAsia="Times New Roman" w:hAnsi="TimesNewRomanPSMT" w:cs="Times New Roman"/>
          <w:b/>
          <w:bCs/>
          <w:color w:val="000000"/>
          <w:sz w:val="18"/>
          <w:szCs w:val="18"/>
          <w:lang w:eastAsia="pl-PL"/>
        </w:rPr>
        <w:t>Przy wystawianiu oceny na koniec semestru lub roku nauczyciel może wziąć pod uwagę dodatkowe kryteria -  osiągnięcia, zaangażowanie, systematyczną pracę, odrabianie zadań domowych, terminowość.</w:t>
      </w:r>
    </w:p>
    <w:p w14:paraId="3BAED20E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</w:p>
    <w:p w14:paraId="3CBD3DC0" w14:textId="77777777" w:rsidR="00D32149" w:rsidRPr="00872A6F" w:rsidRDefault="00D32149" w:rsidP="00D3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4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2"/>
        <w:gridCol w:w="1762"/>
      </w:tblGrid>
      <w:tr w:rsidR="00D32149" w:rsidRPr="00872A6F" w14:paraId="55170675" w14:textId="77777777" w:rsidTr="005D485A"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C059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FORMA PRACY UCZNIA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E8C2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</w:tr>
      <w:tr w:rsidR="00D32149" w:rsidRPr="00872A6F" w14:paraId="28D3CD2A" w14:textId="77777777" w:rsidTr="005D485A"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A83E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reprezentowanie szkoły na szczeblu wojewódzkim w konkursach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 xml:space="preserve">przedmiotowych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4863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6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  <w:t>(kolor czerwony)</w:t>
            </w:r>
          </w:p>
        </w:tc>
      </w:tr>
      <w:tr w:rsidR="00D32149" w:rsidRPr="00872A6F" w14:paraId="555EE5D4" w14:textId="77777777" w:rsidTr="005D485A"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9DDF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sprawdzian wiedzy z działu,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reprezentowanie szkoły na szczeblu powiatu i gminy w konkursach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przedmiotowych ,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5725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  <w:t>(kolor czerwony)</w:t>
            </w:r>
          </w:p>
        </w:tc>
      </w:tr>
      <w:tr w:rsidR="00D32149" w:rsidRPr="00872A6F" w14:paraId="485DE56E" w14:textId="77777777" w:rsidTr="005D485A"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E97B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praca długoterminowa, projekt,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konkursy wiedzy na szczeblu szkolnym,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EA01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  <w:t>(kolor niebieski)</w:t>
            </w:r>
          </w:p>
        </w:tc>
      </w:tr>
      <w:tr w:rsidR="00D32149" w:rsidRPr="00872A6F" w14:paraId="001F98C2" w14:textId="77777777" w:rsidTr="005D485A"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8839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kartkówka,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odpowiedź ustna,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zadania dodatkowe,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prezentacja multimedialna,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D5B0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  <w:t>(kolor czarny)</w:t>
            </w:r>
          </w:p>
        </w:tc>
      </w:tr>
      <w:tr w:rsidR="00D32149" w:rsidRPr="00872A6F" w14:paraId="14AF5267" w14:textId="77777777" w:rsidTr="005D485A">
        <w:trPr>
          <w:trHeight w:val="688"/>
        </w:trPr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F975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zeszyt ćwiczeń, zeszyt przedmiotowy,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zadanie domowe,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 xml:space="preserve"> zadanie dodatkowe,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ćwiczenia, zadania na lekcji,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D312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</w:tr>
      <w:tr w:rsidR="00D32149" w:rsidRPr="00872A6F" w14:paraId="46602255" w14:textId="77777777" w:rsidTr="005D485A"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C72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aktywność na lekcji,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praca w grupie,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72A6F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zadanie domowe.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FA3" w14:textId="77777777" w:rsidR="00D32149" w:rsidRPr="00872A6F" w:rsidRDefault="00D32149" w:rsidP="005D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872A6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</w:tr>
    </w:tbl>
    <w:p w14:paraId="7111E2EE" w14:textId="77777777" w:rsidR="00D32149" w:rsidRDefault="00D32149" w:rsidP="00D321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</w:p>
    <w:p w14:paraId="563BAC4F" w14:textId="77777777" w:rsidR="00D32149" w:rsidRDefault="00D32149" w:rsidP="00D32149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</w:p>
    <w:p w14:paraId="4A4E499C" w14:textId="77777777" w:rsidR="00D32149" w:rsidRDefault="00D32149" w:rsidP="00D32149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</w:p>
    <w:p w14:paraId="386AC9A1" w14:textId="77777777" w:rsidR="00D32149" w:rsidRDefault="00D32149" w:rsidP="00D32149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WYMAGANIA EDUKACYJNE NIEZBĘDNE DO UZYSKANIA POSZCZEGÓLNYCH ŚRÓDROCZNYCH I</w:t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  <w:t>ROCZNYCH OCEN KLASYFIKACYJNYCH</w:t>
      </w:r>
    </w:p>
    <w:p w14:paraId="73C5E4CD" w14:textId="77777777" w:rsidR="00D32149" w:rsidRDefault="00D32149" w:rsidP="00D32149">
      <w:pP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</w:pP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br/>
        <w:t xml:space="preserve">1.Ocenę celującą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otrzymuje uczeń, który (spełnia większość kryteriów ):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 bardzo wysokim stopniu opanował wiedzę i umiejętności z geografii określone programem nauczania, potrafi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selekcjonować i hierarchizować wiadomości, samodzielnie i twórczo rozwija własne uzdolnienia i zainteresowania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geograficzne, biegle posługuje się zdobytymi wiadomościami w rozwiązywaniu problemów teoretycznych lub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praktycznych, proponuje rozwiązania nietypowe, wykazuje się szczególnym zainteresowaniem przedmiotem, aktywnie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pracuje na lekcjach, bierze udział konkursach szkolnych i pozaszkolnych,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2.Ocenę bardzo dobrą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otrzymuje uczeń, który: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opanował pełen zakres wiedzy i umiejętności określony programem nauczania geografii, sprawnie posługuje się zdobytymi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wiadomościami, samodzielnie interpretuje zjawiska zachodzące w przestrzeni geograficznej, rozumie relacje zachodzące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między elementami środowiska, potrafi zastosować posiadaną wiedzę do rozwiązywania zadań i problemów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 nowych sytuacjach, wykazuje się dużym zainteresowaniem przedmiotem, aktywnie pracuje na lekcji.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3.Ocenę dobrą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otrzymuje uczeń, który: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opanował wiadomości i umiejętności w zakresie pozwalającym na rozumienie większości relacji zachodzących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 przestrzeni geograficznej, poprawnie stosuje wiadomości, samodzielnie rozwiązuje typowe zadania teoretyczne lub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praktyczne, samodzielnie pracuje z podręcznikiem, atlasem i materiałami źródłowymi, aktywnie pracuje na lekcji.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4. Ocenę dostateczną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otrzymuje uczeń, który: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opanował podstawowe treści programowe w zakresie umożliwiającym postępy w dalszym uczeniu się geografii,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wyodrębnia, poprawnie nazywa i prosto opisuje rzeczy i zjawiska wraz z lokalizacją, rozwiązuje typowe zadania o średnim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stopniu trudności, czasem przy pomocy nauczyciela, analizuje podstawowe zależności, próbuje porównywać, wnioskować 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zajmować określone stanowisko.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5. Ocenę dopuszczającą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otrzymuje uczeń, który: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opanował podstawowe wiadomości i umiejętności w ograniczonym zakresie, a braki w wiadomościach i umiejętnościach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nie przekreślają możliwości uzyskania przez niego podstawowej wiedzy w ciągu dalszej nauki, posiada wiedzę 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umiejętności, które umożliwiają mu świadomy udział w lekcji, rozwiązuje, często przy pomocy nauczyciela, zadania typowe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o niewielkim stopniu trudności.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</w:r>
      <w:r w:rsidRPr="00872A6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 xml:space="preserve">6. Ocenę niedostateczną 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otrzymuje uczeń, który: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nie opanował wiadomości i umiejętności koniecznych do uzyskania oceny dopuszczającej w zakresie wymagań określonych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w podstawie programowej kształcenia ogólnego z geografii, nie jest w stanie, nawet przy pomocy nauczyciela, rozwiązać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zadania o niewielkim (elementarnym) stopniu trudności, nie potrafi korzystać z podstawowych źródeł informacji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 xml:space="preserve">geograficznej tj. map </w:t>
      </w:r>
      <w:proofErr w:type="spellStart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ogólnogeograficznych</w:t>
      </w:r>
      <w:proofErr w:type="spellEnd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i map tematycznych.</w:t>
      </w:r>
    </w:p>
    <w:p w14:paraId="09E778F9" w14:textId="77777777" w:rsidR="00D32149" w:rsidRDefault="00D32149" w:rsidP="00D32149"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 xml:space="preserve">Przy ocenianiu wiadomości i umiejętności uczniów uwzględniane są standardy edukacyjne ustalone przez </w:t>
      </w:r>
      <w:proofErr w:type="spellStart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ME</w:t>
      </w:r>
      <w:r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i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>N</w:t>
      </w:r>
      <w:proofErr w:type="spellEnd"/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t xml:space="preserve"> w zakresie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umiejętności kluczowych : czytanie, pisanie, rozumowanie, korzystanie z informacji, wykorzystanie wiedzy w praktyce.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Ocenianie roczne polega na podsumowaniu osiągnięć edukacyjnych uczniów w całym roku szkolnym. Wystawiając ocenę</w:t>
      </w:r>
      <w:r w:rsidRPr="00872A6F">
        <w:rPr>
          <w:rFonts w:ascii="TimesNewRomanPSMT" w:eastAsia="Times New Roman" w:hAnsi="TimesNewRomanPSMT" w:cs="Times New Roman"/>
          <w:color w:val="000000"/>
          <w:sz w:val="18"/>
          <w:szCs w:val="18"/>
          <w:lang w:eastAsia="pl-PL"/>
        </w:rPr>
        <w:br/>
        <w:t>roczną z zajęć, nauczyciel uwzględnia osiągnięcia uczniów w obu semestrach.</w:t>
      </w:r>
      <w:r w:rsidRPr="00872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189C89" w14:textId="77777777" w:rsidR="00D32149" w:rsidRDefault="00D32149" w:rsidP="00D32149"/>
    <w:p w14:paraId="1B39F077" w14:textId="77777777" w:rsidR="00D32149" w:rsidRDefault="00D32149" w:rsidP="00D32149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SPOSOBY INFORMOWANIA O POSTĘPACH I TRUDNOŚCIACH W NAUCE</w:t>
      </w:r>
    </w:p>
    <w:p w14:paraId="18CABDA7" w14:textId="77777777" w:rsidR="00D32149" w:rsidRDefault="00D32149" w:rsidP="00D3214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9408F4">
        <w:rPr>
          <w:rFonts w:ascii="Times New Roman" w:hAnsi="Times New Roman" w:cs="Times New Roman"/>
          <w:sz w:val="18"/>
          <w:szCs w:val="18"/>
        </w:rPr>
        <w:t>Informacje o postępach i trudnościach uczniów gromadzone są w  dzienniku elektronicznym</w:t>
      </w:r>
      <w:r>
        <w:rPr>
          <w:rFonts w:ascii="Times New Roman" w:hAnsi="Times New Roman" w:cs="Times New Roman"/>
          <w:sz w:val="18"/>
          <w:szCs w:val="18"/>
        </w:rPr>
        <w:t>. Wszystkie prace pisemne (sprawdziany, kartkówki, karty pracy itp.) uczniowie dostają do wglądu po sprawdzeniu ich przez nauczyciela. Sprawdziany</w:t>
      </w:r>
      <w:r w:rsidRPr="009408F4">
        <w:rPr>
          <w:rFonts w:ascii="Times New Roman" w:hAnsi="Times New Roman" w:cs="Times New Roman"/>
          <w:sz w:val="18"/>
          <w:szCs w:val="18"/>
        </w:rPr>
        <w:t xml:space="preserve"> przechowywane są do zakończenia roku szkolnego (31 sierpnia) w szkole i udostępniane są rodzicom lub uczniom  po wcześniejszym u</w:t>
      </w:r>
      <w:r>
        <w:rPr>
          <w:rFonts w:ascii="Times New Roman" w:hAnsi="Times New Roman" w:cs="Times New Roman"/>
          <w:sz w:val="18"/>
          <w:szCs w:val="18"/>
        </w:rPr>
        <w:t>zgodnieniu z nauczycielem.</w:t>
      </w:r>
    </w:p>
    <w:p w14:paraId="34DA80E4" w14:textId="77777777" w:rsidR="00D32149" w:rsidRDefault="00D32149" w:rsidP="00D32149">
      <w:pPr>
        <w:ind w:firstLine="708"/>
        <w:rPr>
          <w:rFonts w:ascii="Times New Roman" w:hAnsi="Times New Roman" w:cs="Times New Roman"/>
          <w:sz w:val="18"/>
          <w:szCs w:val="18"/>
        </w:rPr>
      </w:pPr>
    </w:p>
    <w:p w14:paraId="3D8F80C5" w14:textId="77777777" w:rsidR="00D32149" w:rsidRDefault="00D32149" w:rsidP="00D32149">
      <w:pPr>
        <w:ind w:firstLine="708"/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WARUNKI I TRYB PRZYZNAWANIA OCENY WYŻSZEJ NIŻ PRZEWIDYWANA</w:t>
      </w:r>
    </w:p>
    <w:p w14:paraId="454BEC85" w14:textId="77777777" w:rsidR="00D32149" w:rsidRDefault="00D32149" w:rsidP="00D3214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9408F4">
        <w:rPr>
          <w:rFonts w:ascii="Times New Roman" w:hAnsi="Times New Roman" w:cs="Times New Roman"/>
          <w:sz w:val="18"/>
          <w:szCs w:val="18"/>
        </w:rPr>
        <w:t xml:space="preserve">Uczeń lub jego rodzice </w:t>
      </w:r>
      <w:r>
        <w:rPr>
          <w:rFonts w:ascii="Times New Roman" w:hAnsi="Times New Roman" w:cs="Times New Roman"/>
          <w:sz w:val="18"/>
          <w:szCs w:val="18"/>
        </w:rPr>
        <w:t xml:space="preserve"> mogą </w:t>
      </w:r>
      <w:r w:rsidRPr="009408F4">
        <w:rPr>
          <w:rFonts w:ascii="Times New Roman" w:hAnsi="Times New Roman" w:cs="Times New Roman"/>
          <w:sz w:val="18"/>
          <w:szCs w:val="18"/>
        </w:rPr>
        <w:t>wniosk</w:t>
      </w:r>
      <w:r>
        <w:rPr>
          <w:rFonts w:ascii="Times New Roman" w:hAnsi="Times New Roman" w:cs="Times New Roman"/>
          <w:sz w:val="18"/>
          <w:szCs w:val="18"/>
        </w:rPr>
        <w:t>ować</w:t>
      </w:r>
      <w:r w:rsidRPr="009408F4">
        <w:rPr>
          <w:rFonts w:ascii="Times New Roman" w:hAnsi="Times New Roman" w:cs="Times New Roman"/>
          <w:sz w:val="18"/>
          <w:szCs w:val="18"/>
        </w:rPr>
        <w:t xml:space="preserve"> o podwyższenie przewidywanej oceny do nauczyciela w terminie 7 dni od poinformowania ucznia o przewidywanej ocenie semestralnej lub rocznej. Nauczyciel wyznacza termin i formę umożliwiającą uczniowi podwyższenie w/w ocen, bi</w:t>
      </w:r>
      <w:r>
        <w:rPr>
          <w:rFonts w:ascii="Times New Roman" w:hAnsi="Times New Roman" w:cs="Times New Roman"/>
          <w:sz w:val="18"/>
          <w:szCs w:val="18"/>
        </w:rPr>
        <w:t>orąc</w:t>
      </w:r>
      <w:r w:rsidRPr="009408F4">
        <w:rPr>
          <w:rFonts w:ascii="Times New Roman" w:hAnsi="Times New Roman" w:cs="Times New Roman"/>
          <w:sz w:val="18"/>
          <w:szCs w:val="18"/>
        </w:rPr>
        <w:t xml:space="preserve"> pod uwagę kryteria oceniania z przedmiotu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46508A">
        <w:rPr>
          <w:rFonts w:ascii="Times New Roman" w:hAnsi="Times New Roman" w:cs="Times New Roman"/>
          <w:sz w:val="18"/>
          <w:szCs w:val="18"/>
        </w:rPr>
        <w:t>Formą poprawy przewidywanej śródrocznej/rocznej oceny klasyfikacyjnej jest pisemny sprawdzian wiadomości i umiejętności, całościowy zakres treści programowych przewidzianych dla danej klasy na ocenę, o którą ubiega się uczeń.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08F4">
        <w:rPr>
          <w:rFonts w:ascii="Times New Roman" w:hAnsi="Times New Roman" w:cs="Times New Roman"/>
          <w:sz w:val="18"/>
          <w:szCs w:val="18"/>
        </w:rPr>
        <w:t xml:space="preserve"> Podwyższenie przewidywanych ocen może nastąpić  najpóźniej 7 dni przed radą klasyfikacyjną. Nauczyciel informuje ucznia o podwyższeniu lub podtrzymaniu oceny.</w:t>
      </w:r>
    </w:p>
    <w:p w14:paraId="0CBD73D3" w14:textId="77777777" w:rsidR="00D32149" w:rsidRPr="009408F4" w:rsidRDefault="00D32149" w:rsidP="00D3214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5B112065" w14:textId="77777777" w:rsidR="00D32149" w:rsidRDefault="00D32149" w:rsidP="00D32149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pl-PL"/>
        </w:rPr>
        <w:t>DOSTOSOWANIE WYMAGAŃ DLA UCZNIÓW O SPECYFICZNYCH POTRZEBACH</w:t>
      </w:r>
    </w:p>
    <w:p w14:paraId="3B14AC1E" w14:textId="77777777" w:rsidR="00D32149" w:rsidRDefault="00D32149" w:rsidP="00D32149">
      <w:pPr>
        <w:rPr>
          <w:rFonts w:ascii="Times New Roman" w:hAnsi="Times New Roman" w:cs="Times New Roman"/>
          <w:sz w:val="18"/>
          <w:szCs w:val="18"/>
        </w:rPr>
      </w:pPr>
      <w:r w:rsidRPr="005126C2">
        <w:rPr>
          <w:rFonts w:ascii="Times New Roman" w:hAnsi="Times New Roman" w:cs="Times New Roman"/>
          <w:sz w:val="18"/>
          <w:szCs w:val="18"/>
        </w:rPr>
        <w:t>Uczniowie o specyficznych potrzebach edukacyjnych będą mieli dostosowane wymagania do swoich potrzeb i dysfunkcji</w:t>
      </w:r>
      <w:r>
        <w:rPr>
          <w:rFonts w:ascii="Times New Roman" w:hAnsi="Times New Roman" w:cs="Times New Roman"/>
          <w:sz w:val="18"/>
          <w:szCs w:val="18"/>
        </w:rPr>
        <w:t>. Szczegółowe dostosowania dostępne są w dokumentacji przedmiotowej nauczyciela.</w:t>
      </w:r>
    </w:p>
    <w:p w14:paraId="231BC42E" w14:textId="77777777" w:rsidR="00D32149" w:rsidRDefault="00D32149" w:rsidP="00D3214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PRACA Z UCZNIEM ZDOLNYM</w:t>
      </w:r>
    </w:p>
    <w:p w14:paraId="7B41E4E9" w14:textId="77777777" w:rsidR="00D32149" w:rsidRPr="00B817F4" w:rsidRDefault="00D32149" w:rsidP="00D3214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Uczeń zdolny zainteresowany przedmiotem ma możliwość otrzymywania dodatkowych zadań, wsparcia w rozwijaniu zainteresowań, pomocy w przygotowaniu do konkursów przedmiotowych. </w:t>
      </w:r>
    </w:p>
    <w:p w14:paraId="29F7B46F" w14:textId="77777777" w:rsidR="00D32149" w:rsidRDefault="00D32149" w:rsidP="00D32149">
      <w:pPr>
        <w:rPr>
          <w:rFonts w:ascii="Times New Roman" w:hAnsi="Times New Roman" w:cs="Times New Roman"/>
          <w:sz w:val="18"/>
          <w:szCs w:val="18"/>
        </w:rPr>
      </w:pPr>
    </w:p>
    <w:p w14:paraId="1ED1CE7C" w14:textId="77777777" w:rsidR="00D32149" w:rsidRDefault="00D32149" w:rsidP="00D3214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NAUCZANIE ZDALNE</w:t>
      </w:r>
    </w:p>
    <w:p w14:paraId="71EB1B73" w14:textId="77777777" w:rsidR="00D32149" w:rsidRPr="00006C59" w:rsidRDefault="00D32149" w:rsidP="00D32149">
      <w:pPr>
        <w:rPr>
          <w:rFonts w:ascii="Times New Roman" w:hAnsi="Times New Roman" w:cs="Times New Roman"/>
          <w:sz w:val="18"/>
          <w:szCs w:val="18"/>
        </w:rPr>
      </w:pPr>
      <w:r w:rsidRPr="00006C59">
        <w:rPr>
          <w:rFonts w:ascii="Times New Roman" w:hAnsi="Times New Roman" w:cs="Times New Roman"/>
          <w:sz w:val="18"/>
          <w:szCs w:val="18"/>
        </w:rPr>
        <w:t xml:space="preserve">W </w:t>
      </w:r>
      <w:r>
        <w:rPr>
          <w:rFonts w:ascii="Times New Roman" w:hAnsi="Times New Roman" w:cs="Times New Roman"/>
          <w:sz w:val="18"/>
          <w:szCs w:val="18"/>
        </w:rPr>
        <w:t xml:space="preserve">przypadku konieczności wprowadzenia nauczania zdalnego, </w:t>
      </w:r>
      <w:r w:rsidRPr="00006C59">
        <w:rPr>
          <w:rFonts w:ascii="Times New Roman" w:hAnsi="Times New Roman" w:cs="Times New Roman"/>
          <w:sz w:val="18"/>
          <w:szCs w:val="18"/>
        </w:rPr>
        <w:t xml:space="preserve"> zajęcia z </w:t>
      </w:r>
      <w:r>
        <w:rPr>
          <w:rFonts w:ascii="Times New Roman" w:hAnsi="Times New Roman" w:cs="Times New Roman"/>
          <w:sz w:val="18"/>
          <w:szCs w:val="18"/>
        </w:rPr>
        <w:t>geografii</w:t>
      </w:r>
      <w:r w:rsidRPr="00006C59">
        <w:rPr>
          <w:rFonts w:ascii="Times New Roman" w:hAnsi="Times New Roman" w:cs="Times New Roman"/>
          <w:sz w:val="18"/>
          <w:szCs w:val="18"/>
        </w:rPr>
        <w:t xml:space="preserve"> będą odbywały się z wykorzystaniem metod i technik kształcenia na odległość</w:t>
      </w:r>
      <w:r>
        <w:rPr>
          <w:rFonts w:ascii="Times New Roman" w:hAnsi="Times New Roman" w:cs="Times New Roman"/>
          <w:sz w:val="18"/>
          <w:szCs w:val="18"/>
        </w:rPr>
        <w:t xml:space="preserve"> przez platformę Microsoft Office 365</w:t>
      </w:r>
      <w:r w:rsidRPr="00006C59">
        <w:rPr>
          <w:rFonts w:ascii="Times New Roman" w:hAnsi="Times New Roman" w:cs="Times New Roman"/>
          <w:sz w:val="18"/>
          <w:szCs w:val="18"/>
        </w:rPr>
        <w:t xml:space="preserve">.  Obowiązkowe wyposażenie ucznia: komputer lub tablet albo smartfon. </w:t>
      </w:r>
      <w:r>
        <w:rPr>
          <w:rFonts w:ascii="Times New Roman" w:hAnsi="Times New Roman" w:cs="Times New Roman"/>
          <w:sz w:val="18"/>
          <w:szCs w:val="18"/>
        </w:rPr>
        <w:t xml:space="preserve">Zajęcia będą odbywać się zgodnie z obowiązującym planem lekcji.  W trakcie zajęć uczeń ma obowiązek odezwać się na prośbę nauczyciela w celu udzielenia odpowiedzi lub potwierdzenia swojego udziału w zajęciach.  </w:t>
      </w:r>
    </w:p>
    <w:p w14:paraId="6388F1A7" w14:textId="77777777" w:rsidR="00D32149" w:rsidRDefault="00D32149" w:rsidP="00D32149">
      <w:pPr>
        <w:rPr>
          <w:rFonts w:ascii="Times New Roman" w:hAnsi="Times New Roman" w:cs="Times New Roman"/>
          <w:sz w:val="18"/>
          <w:szCs w:val="18"/>
        </w:rPr>
      </w:pPr>
      <w:r w:rsidRPr="00006C59">
        <w:rPr>
          <w:rFonts w:ascii="Times New Roman" w:hAnsi="Times New Roman" w:cs="Times New Roman"/>
          <w:sz w:val="18"/>
          <w:szCs w:val="18"/>
        </w:rPr>
        <w:t xml:space="preserve"> Sposoby sprawdzania wiedzy i umiejętności ucznia: testy online, prezentacje multimedialne, </w:t>
      </w:r>
      <w:r>
        <w:rPr>
          <w:rFonts w:ascii="Times New Roman" w:hAnsi="Times New Roman" w:cs="Times New Roman"/>
          <w:sz w:val="18"/>
          <w:szCs w:val="18"/>
        </w:rPr>
        <w:t xml:space="preserve">zadania, odpowiedzi ustne </w:t>
      </w:r>
      <w:r w:rsidRPr="00006C59">
        <w:rPr>
          <w:rFonts w:ascii="Times New Roman" w:hAnsi="Times New Roman" w:cs="Times New Roman"/>
          <w:sz w:val="18"/>
          <w:szCs w:val="18"/>
        </w:rPr>
        <w:t xml:space="preserve">.  Prace domowe uczeń przesyła w dowolnej formie (zdjęcie, plik tekstowy, itp.) w określonym przez nauczyciela czasie. </w:t>
      </w:r>
    </w:p>
    <w:p w14:paraId="17AB7CA5" w14:textId="77777777" w:rsidR="00D32149" w:rsidRDefault="00D32149" w:rsidP="00D32149">
      <w:pPr>
        <w:rPr>
          <w:rFonts w:ascii="Times New Roman" w:hAnsi="Times New Roman" w:cs="Times New Roman"/>
          <w:sz w:val="18"/>
          <w:szCs w:val="18"/>
        </w:rPr>
      </w:pPr>
    </w:p>
    <w:p w14:paraId="28D98BC7" w14:textId="77777777" w:rsidR="00D32149" w:rsidRPr="006F0338" w:rsidRDefault="00D32149" w:rsidP="00D3214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NAUCZANIE CUDZOZIEMCÓW I UCHODŹCÓW </w:t>
      </w:r>
    </w:p>
    <w:p w14:paraId="3CD40FDC" w14:textId="77777777" w:rsidR="00D32149" w:rsidRDefault="00D32149" w:rsidP="00D32149"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stosunku do cudzoziemców i uchodźców stosowane są kryteria dostosowane  do poziomu ich umiejętności posługiwania się językiem polskim. Dopuszcza się możliwość korzystania przez uczniów z translatorów w trakcie zajęć. W przypadku trudności językowych  uczeń będzie miał wydłużony czas na wykonanie danego zadania. </w:t>
      </w:r>
    </w:p>
    <w:sectPr w:rsidR="00D3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235"/>
    <w:multiLevelType w:val="hybridMultilevel"/>
    <w:tmpl w:val="F836D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0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75"/>
    <w:rsid w:val="00BE6A75"/>
    <w:rsid w:val="00D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9A66"/>
  <w15:chartTrackingRefBased/>
  <w15:docId w15:val="{62EE0110-2A65-4568-8A63-A31C8E76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1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10242</Characters>
  <Application>Microsoft Office Word</Application>
  <DocSecurity>0</DocSecurity>
  <Lines>85</Lines>
  <Paragraphs>23</Paragraphs>
  <ScaleCrop>false</ScaleCrop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Gambiec</dc:creator>
  <cp:keywords/>
  <dc:description/>
  <cp:lastModifiedBy>Marcin Gambiec</cp:lastModifiedBy>
  <cp:revision>2</cp:revision>
  <dcterms:created xsi:type="dcterms:W3CDTF">2023-09-03T12:56:00Z</dcterms:created>
  <dcterms:modified xsi:type="dcterms:W3CDTF">2023-09-03T12:56:00Z</dcterms:modified>
</cp:coreProperties>
</file>